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before="100" w:lineRule="auto"/>
        <w:contextualSpacing w:val="0"/>
        <w:rPr/>
      </w:pPr>
      <w:r w:rsidDel="00000000" w:rsidR="00000000" w:rsidRPr="00000000">
        <w:rPr>
          <w:rtl w:val="0"/>
        </w:rPr>
        <w:t xml:space="preserve">Mint </w:t>
      </w:r>
      <w:r w:rsidDel="00000000" w:rsidR="00000000" w:rsidRPr="00000000">
        <w:drawing>
          <wp:anchor allowOverlap="1" behindDoc="0" distB="0" distT="0" distL="114300" distR="114300" hidden="0" layoutInCell="1" locked="0" relativeHeight="0" simplePos="0">
            <wp:simplePos x="0" y="0"/>
            <wp:positionH relativeFrom="margin">
              <wp:posOffset>4122420</wp:posOffset>
            </wp:positionH>
            <wp:positionV relativeFrom="paragraph">
              <wp:posOffset>11430</wp:posOffset>
            </wp:positionV>
            <wp:extent cx="1811020" cy="819150"/>
            <wp:effectExtent b="0" l="0" r="0" t="0"/>
            <wp:wrapSquare wrapText="bothSides" distB="0" distT="0" distL="114300" distR="114300"/>
            <wp:docPr id="2"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811020" cy="819150"/>
                    </a:xfrm>
                    <a:prstGeom prst="rect"/>
                    <a:ln/>
                  </pic:spPr>
                </pic:pic>
              </a:graphicData>
            </a:graphic>
          </wp:anchor>
        </w:drawing>
      </w:r>
    </w:p>
    <w:p w:rsidR="00000000" w:rsidDel="00000000" w:rsidP="00000000" w:rsidRDefault="00000000" w:rsidRPr="00000000" w14:paraId="00000001">
      <w:pPr>
        <w:pStyle w:val="Title"/>
        <w:spacing w:before="0" w:lineRule="auto"/>
        <w:contextualSpacing w:val="0"/>
        <w:rPr/>
      </w:pPr>
      <w:bookmarkStart w:colFirst="0" w:colLast="0" w:name="_gjdgxs" w:id="0"/>
      <w:bookmarkEnd w:id="0"/>
      <w:r w:rsidDel="00000000" w:rsidR="00000000" w:rsidRPr="00000000">
        <w:rPr>
          <w:rtl w:val="0"/>
        </w:rPr>
        <w:t xml:space="preserve">Conversion Information</w:t>
      </w:r>
    </w:p>
    <w:p w:rsidR="00000000" w:rsidDel="00000000" w:rsidP="00000000" w:rsidRDefault="00000000" w:rsidRPr="00000000" w14:paraId="00000002">
      <w:pPr>
        <w:pStyle w:val="Subtitle"/>
        <w:contextualSpacing w:val="0"/>
        <w:rPr/>
      </w:pPr>
      <w:r w:rsidDel="00000000" w:rsidR="00000000" w:rsidRPr="00000000">
        <w:rPr>
          <w:rtl w:val="0"/>
        </w:rPr>
        <w:t xml:space="preserve">Mint.com (V40)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2c6eab"/>
          <w:sz w:val="28"/>
          <w:szCs w:val="2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2c6eab"/>
          <w:sz w:val="28"/>
          <w:szCs w:val="28"/>
          <w:u w:val="none"/>
          <w:shd w:fill="auto" w:val="clear"/>
          <w:vertAlign w:val="baseline"/>
          <w:rtl w:val="0"/>
        </w:rPr>
        <w:t xml:space="preserve">Introduction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r w:rsidDel="00000000" w:rsidR="00000000" w:rsidRPr="00000000">
        <w:rPr>
          <w:rFonts w:ascii="Arial" w:cs="Arial" w:eastAsia="Arial" w:hAnsi="Arial"/>
          <w:b w:val="1"/>
          <w:i w:val="1"/>
          <w:smallCaps w:val="0"/>
          <w:strike w:val="0"/>
          <w:color w:val="323e4f"/>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323e4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completes its system conversion, Mint aggregation services may be interrupted for up to 5 business days. </w:t>
      </w:r>
    </w:p>
    <w:p w:rsidR="00000000" w:rsidDel="00000000" w:rsidP="00000000" w:rsidRDefault="00000000" w:rsidRPr="00000000" w14:paraId="00000005">
      <w:pPr>
        <w:keepNext w:val="0"/>
        <w:keepLines w:val="0"/>
        <w:widowControl w:val="1"/>
        <w:numPr>
          <w:ilvl w:val="0"/>
          <w:numId w:val="1"/>
        </w:numPr>
        <w:pBdr>
          <w:top w:color="a6a6a6" w:space="6" w:sz="4" w:val="single"/>
          <w:left w:color="a6a6a6" w:space="20" w:sz="4" w:val="single"/>
          <w:bottom w:color="a6a6a6" w:space="6" w:sz="4" w:val="single"/>
          <w:right w:color="a6a6a6" w:space="10" w:sz="4" w:val="single"/>
          <w:between w:space="0" w:sz="0" w:val="nil"/>
        </w:pBdr>
        <w:shd w:fill="ffff99" w:val="clear"/>
        <w:spacing w:after="200" w:before="200" w:line="240" w:lineRule="auto"/>
        <w:ind w:left="954" w:right="288" w:hanging="504"/>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able to access online banking information by directly logging into your financial institution website during the interrupted time.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2c6eab"/>
          <w:sz w:val="28"/>
          <w:szCs w:val="28"/>
          <w:u w:val="none"/>
          <w:shd w:fill="auto" w:val="clear"/>
          <w:vertAlign w:val="baseline"/>
        </w:rPr>
      </w:pPr>
      <w:r w:rsidDel="00000000" w:rsidR="00000000" w:rsidRPr="00000000">
        <w:rPr>
          <w:rFonts w:ascii="Arial" w:cs="Arial" w:eastAsia="Arial" w:hAnsi="Arial"/>
          <w:b w:val="1"/>
          <w:i w:val="0"/>
          <w:smallCaps w:val="0"/>
          <w:strike w:val="0"/>
          <w:color w:val="2c6eab"/>
          <w:sz w:val="28"/>
          <w:szCs w:val="28"/>
          <w:u w:val="none"/>
          <w:shd w:fill="auto" w:val="clear"/>
          <w:vertAlign w:val="baseline"/>
          <w:rtl w:val="0"/>
        </w:rPr>
        <w:t xml:space="preserve">Mint Conversion Information</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Mint.com data is stored on Intuit cloud servers. Data is updated with every change and cannot restore data to a previous point in time.</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 successful account update, do not login into Mint.com for </w:t>
      </w:r>
      <w:r w:rsidDel="00000000" w:rsidR="00000000" w:rsidRPr="00000000">
        <w:rPr>
          <w:rFonts w:ascii="Arial" w:cs="Arial" w:eastAsia="Arial" w:hAnsi="Arial"/>
          <w:b w:val="1"/>
          <w:i w:val="1"/>
          <w:smallCaps w:val="0"/>
          <w:strike w:val="0"/>
          <w:color w:val="323e4f"/>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until 5 business days after </w:t>
      </w:r>
      <w:r w:rsidDel="00000000" w:rsidR="00000000" w:rsidRPr="00000000">
        <w:rPr>
          <w:rFonts w:ascii="Arial" w:cs="Arial" w:eastAsia="Arial" w:hAnsi="Arial"/>
          <w:b w:val="1"/>
          <w:i w:val="1"/>
          <w:smallCaps w:val="0"/>
          <w:strike w:val="0"/>
          <w:color w:val="323e4f"/>
          <w:sz w:val="20"/>
          <w:szCs w:val="20"/>
          <w:u w:val="none"/>
          <w:shd w:fill="auto" w:val="clear"/>
          <w:vertAlign w:val="baseline"/>
          <w:rtl w:val="0"/>
        </w:rPr>
        <w:t xml:space="preserve">11/07/2018</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this time, the Mint.com server will automatically make the system conversion for your activated accounts.  If you login into Mint.com during this time, you may see duplicate accounts or an error displayed.  Please do not attempt to change the status or make any changes in Mint.com during this time.  After 5 business days, the accounts should reconcile showing your transaction history available.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your accounts do not display current transactions after 5 business days, you may log back into Mint.com and click refresh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93700" cy="2540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93700" cy="2540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update the account.  After the download completes, click the Transactions tab to view up to 90 days of transaction history.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rFonts w:ascii="Arial" w:cs="Arial" w:eastAsia="Arial" w:hAnsi="Arial"/>
          <w:b w:val="1"/>
          <w:i w:val="1"/>
          <w:smallCaps w:val="0"/>
          <w:strike w:val="0"/>
          <w:color w:val="323e4f"/>
          <w:sz w:val="20"/>
          <w:szCs w:val="20"/>
          <w:u w:val="none"/>
          <w:shd w:fill="auto" w:val="clear"/>
          <w:vertAlign w:val="baseline"/>
        </w:rPr>
      </w:pPr>
      <w:r w:rsidDel="00000000" w:rsidR="00000000" w:rsidRPr="00000000">
        <w:rPr>
          <w:rFonts w:ascii="Arial" w:cs="Arial" w:eastAsia="Arial" w:hAnsi="Arial"/>
          <w:b w:val="1"/>
          <w:i w:val="1"/>
          <w:smallCaps w:val="0"/>
          <w:strike w:val="0"/>
          <w:color w:val="323e4f"/>
          <w:sz w:val="20"/>
          <w:szCs w:val="20"/>
          <w:u w:val="none"/>
          <w:shd w:fill="auto" w:val="clear"/>
          <w:vertAlign w:val="baseline"/>
          <w:rtl w:val="0"/>
        </w:rPr>
        <w:t xml:space="preserve">Thank you for your patience during these changes!</w:t>
      </w:r>
    </w:p>
    <w:sectPr>
      <w:pgSz w:h="15840" w:w="12240"/>
      <w:pgMar w:bottom="1728" w:top="1440" w:left="1440" w:right="1440" w:header="720" w:footer="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NOTE:"/>
      <w:lvlJc w:val="left"/>
      <w:pPr>
        <w:ind w:left="954" w:hanging="503.99999999999994"/>
      </w:pPr>
      <w:rPr>
        <w:rFonts w:ascii="Helvetica Neue" w:cs="Helvetica Neue" w:eastAsia="Helvetica Neue" w:hAnsi="Helvetica Neue"/>
        <w:b w:val="1"/>
        <w:i w:val="0"/>
        <w:strike w:val="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296" w:hanging="360"/>
      </w:pPr>
      <w:rPr/>
    </w:lvl>
    <w:lvl w:ilvl="1">
      <w:start w:val="1"/>
      <w:numFmt w:val="lowerLetter"/>
      <w:lvlText w:val="%2."/>
      <w:lvlJc w:val="left"/>
      <w:pPr>
        <w:ind w:left="2016" w:hanging="360"/>
      </w:pPr>
      <w:rPr/>
    </w:lvl>
    <w:lvl w:ilvl="2">
      <w:start w:val="1"/>
      <w:numFmt w:val="lowerRoman"/>
      <w:lvlText w:val="%3."/>
      <w:lvlJc w:val="right"/>
      <w:pPr>
        <w:ind w:left="2736" w:hanging="180"/>
      </w:pPr>
      <w:rPr/>
    </w:lvl>
    <w:lvl w:ilvl="3">
      <w:start w:val="1"/>
      <w:numFmt w:val="decimal"/>
      <w:lvlText w:val="%4."/>
      <w:lvlJc w:val="left"/>
      <w:pPr>
        <w:ind w:left="3456" w:hanging="360"/>
      </w:pPr>
      <w:rPr/>
    </w:lvl>
    <w:lvl w:ilvl="4">
      <w:start w:val="1"/>
      <w:numFmt w:val="lowerLetter"/>
      <w:lvlText w:val="%5."/>
      <w:lvlJc w:val="left"/>
      <w:pPr>
        <w:ind w:left="4176" w:hanging="360"/>
      </w:pPr>
      <w:rPr/>
    </w:lvl>
    <w:lvl w:ilvl="5">
      <w:start w:val="1"/>
      <w:numFmt w:val="lowerRoman"/>
      <w:lvlText w:val="%6."/>
      <w:lvlJc w:val="right"/>
      <w:pPr>
        <w:ind w:left="4896" w:hanging="180"/>
      </w:pPr>
      <w:rPr/>
    </w:lvl>
    <w:lvl w:ilvl="6">
      <w:start w:val="1"/>
      <w:numFmt w:val="decimal"/>
      <w:lvlText w:val="%7."/>
      <w:lvlJc w:val="left"/>
      <w:pPr>
        <w:ind w:left="5616" w:hanging="360"/>
      </w:pPr>
      <w:rPr/>
    </w:lvl>
    <w:lvl w:ilvl="7">
      <w:start w:val="1"/>
      <w:numFmt w:val="lowerLetter"/>
      <w:lvlText w:val="%8."/>
      <w:lvlJc w:val="left"/>
      <w:pPr>
        <w:ind w:left="6336" w:hanging="360"/>
      </w:pPr>
      <w:rPr/>
    </w:lvl>
    <w:lvl w:ilvl="8">
      <w:start w:val="1"/>
      <w:numFmt w:val="lowerRoman"/>
      <w:lvlText w:val="%9."/>
      <w:lvlJc w:val="right"/>
      <w:pPr>
        <w:ind w:left="7056"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w:cs="Arial" w:eastAsia="Arial" w:hAnsi="Arial"/>
      <w:b w:val="1"/>
      <w:i w:val="0"/>
      <w:smallCaps w:val="0"/>
      <w:strike w:val="0"/>
      <w:color w:val="2c6eab"/>
      <w:sz w:val="28"/>
      <w:szCs w:val="2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contextualSpacing w:val="0"/>
      <w:jc w:val="left"/>
    </w:pPr>
    <w:rPr>
      <w:rFonts w:ascii="Arial" w:cs="Arial" w:eastAsia="Arial" w:hAnsi="Arial"/>
      <w:b w:val="1"/>
      <w:i w:val="0"/>
      <w:smallCaps w:val="0"/>
      <w:strike w:val="0"/>
      <w:color w:val="5b9bd5"/>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40" w:right="0" w:hanging="144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color="5b9bd5" w:space="4" w:sz="8" w:val="single"/>
        <w:right w:space="0" w:sz="0" w:val="nil"/>
        <w:between w:space="0" w:sz="0" w:val="nil"/>
      </w:pBdr>
      <w:shd w:fill="auto" w:val="clear"/>
      <w:spacing w:after="200" w:before="2400" w:line="240" w:lineRule="auto"/>
      <w:ind w:left="0" w:right="0" w:firstLine="0"/>
      <w:contextualSpacing w:val="1"/>
      <w:jc w:val="left"/>
    </w:pPr>
    <w:rPr>
      <w:rFonts w:ascii="Arial" w:cs="Arial" w:eastAsia="Arial" w:hAnsi="Arial"/>
      <w:b w:val="0"/>
      <w:i w:val="0"/>
      <w:smallCaps w:val="0"/>
      <w:strike w:val="0"/>
      <w:color w:val="323e4f"/>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1"/>
      <w:i w:val="1"/>
      <w:smallCaps w:val="0"/>
      <w:strike w:val="0"/>
      <w:color w:val="5b9bd5"/>
      <w:sz w:val="20"/>
      <w:szCs w:val="2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